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1875"/>
        <w:tblW w:w="119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1"/>
        <w:gridCol w:w="1867"/>
        <w:gridCol w:w="1610"/>
        <w:gridCol w:w="1610"/>
        <w:gridCol w:w="1625"/>
      </w:tblGrid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Ukazatel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Rozpočet 2026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Výhled 2027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Výhled 2028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Výhled 2029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NÁKLADY CELKEM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7 811 888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8 046 244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8 287 632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8 536 261 Kč</w:t>
            </w:r>
          </w:p>
        </w:tc>
      </w:tr>
      <w:tr w:rsidR="008E74F1" w:rsidRPr="008E74F1" w:rsidTr="008E74F1">
        <w:trPr>
          <w:trHeight w:val="342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🔹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Provozní náklady (501, 502, 511, 512, 518)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891 148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917 882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945 419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973 781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🔹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Mzdové náklady celkem (521–527)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6 726 820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6 928 625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7 136 483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7 350 578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🔹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Ostatní náklady (538, 549, 558)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193 920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199 738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205 729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211 901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VÝNOSY CELKEM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7 811 888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8 046 244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8 287 632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8 536 261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Vlastní výnosy a tržby (602)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112 000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115 360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118 821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122 385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Dotace zřizovatele (672010)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2 198 916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2 264 883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2 332 830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2 402 815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Dotace SR - KRAJ (mzdové složky)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5 235 840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5 392 915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5 554 703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5 721 344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Dotace ESF (Šablony)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265 132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273 086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281 278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289 717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Hospodářský výsledek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</w:tr>
    </w:tbl>
    <w:p w:rsidR="00E20E00" w:rsidRDefault="00C36D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NÁVRH  - </w:t>
      </w:r>
      <w:r w:rsidR="008E74F1" w:rsidRPr="008E74F1">
        <w:rPr>
          <w:b/>
          <w:sz w:val="32"/>
          <w:szCs w:val="32"/>
        </w:rPr>
        <w:t xml:space="preserve">Střednědobý výhled rozpočtu na rok 2027 </w:t>
      </w:r>
      <w:r w:rsidR="008E74F1">
        <w:rPr>
          <w:b/>
          <w:sz w:val="32"/>
          <w:szCs w:val="32"/>
        </w:rPr>
        <w:t>–</w:t>
      </w:r>
      <w:r w:rsidR="008E74F1" w:rsidRPr="008E74F1">
        <w:rPr>
          <w:b/>
          <w:sz w:val="32"/>
          <w:szCs w:val="32"/>
        </w:rPr>
        <w:t xml:space="preserve"> 2029</w:t>
      </w:r>
    </w:p>
    <w:p w:rsidR="008E74F1" w:rsidRPr="008E74F1" w:rsidRDefault="008E74F1">
      <w:pPr>
        <w:rPr>
          <w:b/>
          <w:sz w:val="32"/>
          <w:szCs w:val="32"/>
        </w:rPr>
      </w:pPr>
      <w:r>
        <w:rPr>
          <w:b/>
          <w:sz w:val="32"/>
          <w:szCs w:val="32"/>
        </w:rPr>
        <w:t>ZŠ a MŠ Nechvalice</w:t>
      </w:r>
    </w:p>
    <w:sectPr w:rsidR="008E74F1" w:rsidRPr="008E74F1" w:rsidSect="008E74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E74F1"/>
    <w:rsid w:val="008E74F1"/>
    <w:rsid w:val="00A86644"/>
    <w:rsid w:val="00C36D01"/>
    <w:rsid w:val="00C70C40"/>
    <w:rsid w:val="00D52DB0"/>
    <w:rsid w:val="00E20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0E0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E74F1"/>
    <w:rPr>
      <w:b/>
      <w:bCs/>
    </w:rPr>
  </w:style>
  <w:style w:type="character" w:styleId="Zvraznn">
    <w:name w:val="Emphasis"/>
    <w:basedOn w:val="Standardnpsmoodstavce"/>
    <w:uiPriority w:val="20"/>
    <w:qFormat/>
    <w:rsid w:val="008E74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762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cp:lastPrinted>2026-09-21T08:14:00Z</cp:lastPrinted>
  <dcterms:created xsi:type="dcterms:W3CDTF">2026-09-21T08:40:00Z</dcterms:created>
  <dcterms:modified xsi:type="dcterms:W3CDTF">2026-09-21T08:40:00Z</dcterms:modified>
</cp:coreProperties>
</file>